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Pr>
          <w:rFonts w:ascii="Gotham-Medium" w:eastAsia="Times New Roman" w:hAnsi="Gotham-Medium" w:cs="Times New Roman"/>
          <w:color w:val="5F7280"/>
          <w:spacing w:val="15"/>
          <w:sz w:val="36"/>
          <w:szCs w:val="36"/>
        </w:rPr>
        <w:t>RELIAS</w:t>
      </w:r>
      <w:bookmarkStart w:id="0" w:name="_GoBack"/>
      <w:bookmarkEnd w:id="0"/>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 xml:space="preserve">Basic Tips for Offering </w:t>
      </w:r>
      <w:proofErr w:type="spellStart"/>
      <w:r w:rsidRPr="00EE4FA9">
        <w:rPr>
          <w:rFonts w:ascii="Gotham-Medium" w:eastAsia="Times New Roman" w:hAnsi="Gotham-Medium" w:cs="Times New Roman"/>
          <w:color w:val="5F7280"/>
          <w:spacing w:val="15"/>
          <w:sz w:val="36"/>
          <w:szCs w:val="36"/>
        </w:rPr>
        <w:t>Telemental</w:t>
      </w:r>
      <w:proofErr w:type="spellEnd"/>
      <w:r w:rsidRPr="00EE4FA9">
        <w:rPr>
          <w:rFonts w:ascii="Gotham-Medium" w:eastAsia="Times New Roman" w:hAnsi="Gotham-Medium" w:cs="Times New Roman"/>
          <w:color w:val="5F7280"/>
          <w:spacing w:val="15"/>
          <w:sz w:val="36"/>
          <w:szCs w:val="36"/>
        </w:rPr>
        <w:t xml:space="preserve"> Health Services</w:t>
      </w:r>
    </w:p>
    <w:p w:rsidR="00EE4FA9" w:rsidRPr="00EE4FA9" w:rsidRDefault="00EE4FA9" w:rsidP="00EE4FA9">
      <w:pPr>
        <w:shd w:val="clear" w:color="auto" w:fill="FFFFFF"/>
        <w:spacing w:before="100" w:beforeAutospacing="1" w:after="100" w:afterAutospacing="1" w:line="240" w:lineRule="auto"/>
        <w:outlineLvl w:val="2"/>
        <w:rPr>
          <w:rFonts w:ascii="Gotham-Medium" w:eastAsia="Times New Roman" w:hAnsi="Gotham-Medium" w:cs="Times New Roman"/>
          <w:color w:val="5F7280"/>
          <w:sz w:val="27"/>
          <w:szCs w:val="27"/>
        </w:rPr>
      </w:pPr>
      <w:r w:rsidRPr="00EE4FA9">
        <w:rPr>
          <w:rFonts w:ascii="Gotham-Medium" w:eastAsia="Times New Roman" w:hAnsi="Gotham-Medium" w:cs="Times New Roman"/>
          <w:color w:val="5F7280"/>
          <w:sz w:val="27"/>
          <w:szCs w:val="27"/>
        </w:rPr>
        <w:t>1. Determine your goals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 xml:space="preserve">Think about why you are initiating </w:t>
      </w:r>
      <w:proofErr w:type="spellStart"/>
      <w:r w:rsidRPr="00EE4FA9">
        <w:rPr>
          <w:rFonts w:ascii="Gotham-Book" w:eastAsia="Times New Roman" w:hAnsi="Gotham-Book" w:cs="Times New Roman"/>
          <w:color w:val="5F7280"/>
          <w:sz w:val="24"/>
          <w:szCs w:val="24"/>
        </w:rPr>
        <w:t>telemental</w:t>
      </w:r>
      <w:proofErr w:type="spellEnd"/>
      <w:r w:rsidRPr="00EE4FA9">
        <w:rPr>
          <w:rFonts w:ascii="Gotham-Book" w:eastAsia="Times New Roman" w:hAnsi="Gotham-Book" w:cs="Times New Roman"/>
          <w:color w:val="5F7280"/>
          <w:sz w:val="24"/>
          <w:szCs w:val="24"/>
        </w:rPr>
        <w:t xml:space="preserve"> health services and how this format will affect your client base. Some reasons cited by behavioral health agencies in the Behavioral Health Workforce Research Center study were:</w:t>
      </w:r>
    </w:p>
    <w:p w:rsidR="00EE4FA9" w:rsidRPr="00EE4FA9" w:rsidRDefault="00EE4FA9" w:rsidP="00EE4FA9">
      <w:pPr>
        <w:numPr>
          <w:ilvl w:val="0"/>
          <w:numId w:val="1"/>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Improving the quality of care</w:t>
      </w:r>
    </w:p>
    <w:p w:rsidR="00EE4FA9" w:rsidRPr="00EE4FA9" w:rsidRDefault="00EE4FA9" w:rsidP="00EE4FA9">
      <w:pPr>
        <w:numPr>
          <w:ilvl w:val="0"/>
          <w:numId w:val="1"/>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Enhancing operational efficiency and workflow</w:t>
      </w:r>
    </w:p>
    <w:p w:rsidR="00EE4FA9" w:rsidRPr="00EE4FA9" w:rsidRDefault="00EE4FA9" w:rsidP="00EE4FA9">
      <w:pPr>
        <w:numPr>
          <w:ilvl w:val="0"/>
          <w:numId w:val="1"/>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Serving new patients</w:t>
      </w:r>
    </w:p>
    <w:p w:rsidR="00EE4FA9" w:rsidRPr="00EE4FA9" w:rsidRDefault="00EE4FA9" w:rsidP="00EE4FA9">
      <w:pPr>
        <w:numPr>
          <w:ilvl w:val="0"/>
          <w:numId w:val="1"/>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Expanding into a larger geographic area</w:t>
      </w:r>
    </w:p>
    <w:p w:rsidR="00EE4FA9" w:rsidRPr="00EE4FA9" w:rsidRDefault="00EE4FA9" w:rsidP="00EE4FA9">
      <w:pPr>
        <w:shd w:val="clear" w:color="auto" w:fill="FFFFFF"/>
        <w:spacing w:before="100" w:beforeAutospacing="1" w:after="100" w:afterAutospacing="1" w:line="240" w:lineRule="auto"/>
        <w:outlineLvl w:val="2"/>
        <w:rPr>
          <w:rFonts w:ascii="Gotham-Medium" w:eastAsia="Times New Roman" w:hAnsi="Gotham-Medium" w:cs="Times New Roman"/>
          <w:color w:val="5F7280"/>
          <w:sz w:val="27"/>
          <w:szCs w:val="27"/>
        </w:rPr>
      </w:pPr>
      <w:r w:rsidRPr="00EE4FA9">
        <w:rPr>
          <w:rFonts w:ascii="Gotham-Medium" w:eastAsia="Times New Roman" w:hAnsi="Gotham-Medium" w:cs="Times New Roman"/>
          <w:color w:val="5F7280"/>
          <w:sz w:val="27"/>
          <w:szCs w:val="27"/>
        </w:rPr>
        <w:t>2. Identify the services you plan to offer</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 xml:space="preserve">Your goals in implementing </w:t>
      </w:r>
      <w:proofErr w:type="spellStart"/>
      <w:r w:rsidRPr="00EE4FA9">
        <w:rPr>
          <w:rFonts w:ascii="Gotham-Book" w:eastAsia="Times New Roman" w:hAnsi="Gotham-Book" w:cs="Times New Roman"/>
          <w:color w:val="5F7280"/>
          <w:sz w:val="24"/>
          <w:szCs w:val="24"/>
        </w:rPr>
        <w:t>telemental</w:t>
      </w:r>
      <w:proofErr w:type="spellEnd"/>
      <w:r w:rsidRPr="00EE4FA9">
        <w:rPr>
          <w:rFonts w:ascii="Gotham-Book" w:eastAsia="Times New Roman" w:hAnsi="Gotham-Book" w:cs="Times New Roman"/>
          <w:color w:val="5F7280"/>
          <w:sz w:val="24"/>
          <w:szCs w:val="24"/>
        </w:rPr>
        <w:t xml:space="preserve"> health will influence the types of services you provide. These may include:</w:t>
      </w:r>
    </w:p>
    <w:p w:rsidR="00EE4FA9" w:rsidRPr="00EE4FA9" w:rsidRDefault="00EE4FA9" w:rsidP="00EE4FA9">
      <w:pPr>
        <w:numPr>
          <w:ilvl w:val="0"/>
          <w:numId w:val="2"/>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Connecting patients with care providers and referrals</w:t>
      </w:r>
    </w:p>
    <w:p w:rsidR="00EE4FA9" w:rsidRPr="00EE4FA9" w:rsidRDefault="00EE4FA9" w:rsidP="00EE4FA9">
      <w:pPr>
        <w:numPr>
          <w:ilvl w:val="0"/>
          <w:numId w:val="2"/>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Assessment information</w:t>
      </w:r>
    </w:p>
    <w:p w:rsidR="00EE4FA9" w:rsidRPr="00EE4FA9" w:rsidRDefault="00EE4FA9" w:rsidP="00EE4FA9">
      <w:pPr>
        <w:numPr>
          <w:ilvl w:val="0"/>
          <w:numId w:val="2"/>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Care consultation and coordination</w:t>
      </w:r>
    </w:p>
    <w:p w:rsidR="00EE4FA9" w:rsidRPr="00EE4FA9" w:rsidRDefault="00EE4FA9" w:rsidP="00EE4FA9">
      <w:pPr>
        <w:numPr>
          <w:ilvl w:val="0"/>
          <w:numId w:val="2"/>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Medication management and monitoring</w:t>
      </w:r>
    </w:p>
    <w:p w:rsidR="00EE4FA9" w:rsidRDefault="00EE4FA9" w:rsidP="00EE4FA9">
      <w:pPr>
        <w:numPr>
          <w:ilvl w:val="0"/>
          <w:numId w:val="2"/>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Public health information, targeted texts, and notifications</w:t>
      </w:r>
    </w:p>
    <w:p w:rsidR="00EE4FA9" w:rsidRPr="00EE4FA9" w:rsidRDefault="00EE4FA9" w:rsidP="00EE4FA9">
      <w:pPr>
        <w:shd w:val="clear" w:color="auto" w:fill="FFFFFF"/>
        <w:spacing w:before="100" w:beforeAutospacing="1" w:after="100" w:afterAutospacing="1" w:line="240" w:lineRule="auto"/>
        <w:outlineLvl w:val="2"/>
        <w:rPr>
          <w:rFonts w:ascii="Gotham-Medium" w:eastAsia="Times New Roman" w:hAnsi="Gotham-Medium" w:cs="Times New Roman"/>
          <w:color w:val="5F7280"/>
          <w:sz w:val="27"/>
          <w:szCs w:val="27"/>
        </w:rPr>
      </w:pPr>
      <w:r w:rsidRPr="00EE4FA9">
        <w:rPr>
          <w:rFonts w:ascii="Gotham-Medium" w:eastAsia="Times New Roman" w:hAnsi="Gotham-Medium" w:cs="Times New Roman"/>
          <w:color w:val="5F7280"/>
          <w:sz w:val="27"/>
          <w:szCs w:val="27"/>
        </w:rPr>
        <w:t>3. Pick the right type of tools to suit your needs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Once you have decided how your organization will use the system, you must ensure that the system you choose has all the features you need. Consider how you will connect with patients and provide information to support your clients. Common types of telehealth in behavioral health include:</w:t>
      </w:r>
    </w:p>
    <w:p w:rsidR="00EE4FA9" w:rsidRPr="00EE4FA9" w:rsidRDefault="00EE4FA9" w:rsidP="00EE4FA9">
      <w:pPr>
        <w:numPr>
          <w:ilvl w:val="0"/>
          <w:numId w:val="3"/>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ld" w:eastAsia="Times New Roman" w:hAnsi="GothamBold" w:cs="Times New Roman"/>
          <w:color w:val="5F7280"/>
          <w:sz w:val="24"/>
          <w:szCs w:val="24"/>
        </w:rPr>
        <w:t>Live videoconferencing</w:t>
      </w:r>
      <w:r w:rsidRPr="00EE4FA9">
        <w:rPr>
          <w:rFonts w:ascii="Gotham-Book" w:eastAsia="Times New Roman" w:hAnsi="Gotham-Book" w:cs="Times New Roman"/>
          <w:color w:val="5F7280"/>
          <w:sz w:val="24"/>
          <w:szCs w:val="24"/>
        </w:rPr>
        <w:t>—Direct, two-way video-based conference between a patient and the healthcare provider</w:t>
      </w:r>
    </w:p>
    <w:p w:rsidR="00EE4FA9" w:rsidRPr="00EE4FA9" w:rsidRDefault="00EE4FA9" w:rsidP="00EE4FA9">
      <w:pPr>
        <w:numPr>
          <w:ilvl w:val="0"/>
          <w:numId w:val="3"/>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ld" w:eastAsia="Times New Roman" w:hAnsi="GothamBold" w:cs="Times New Roman"/>
          <w:color w:val="5F7280"/>
          <w:sz w:val="24"/>
          <w:szCs w:val="24"/>
        </w:rPr>
        <w:t>Mobile health</w:t>
      </w:r>
      <w:r w:rsidRPr="00EE4FA9">
        <w:rPr>
          <w:rFonts w:ascii="Gotham-Book" w:eastAsia="Times New Roman" w:hAnsi="Gotham-Book" w:cs="Times New Roman"/>
          <w:color w:val="5F7280"/>
          <w:sz w:val="24"/>
          <w:szCs w:val="24"/>
        </w:rPr>
        <w:t>—The use of smartphones, tablets, and other smart devices along with health-based software apps that can monitor patient status in terms of medication intake, mood, pain levels, and more</w:t>
      </w:r>
    </w:p>
    <w:p w:rsidR="00EE4FA9" w:rsidRPr="00EE4FA9" w:rsidRDefault="00EE4FA9" w:rsidP="00EE4FA9">
      <w:pPr>
        <w:numPr>
          <w:ilvl w:val="0"/>
          <w:numId w:val="3"/>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ld" w:eastAsia="Times New Roman" w:hAnsi="GothamBold" w:cs="Times New Roman"/>
          <w:color w:val="5F7280"/>
          <w:sz w:val="24"/>
          <w:szCs w:val="24"/>
        </w:rPr>
        <w:t>Remote patient monitoring (RPM)</w:t>
      </w:r>
      <w:r w:rsidRPr="00EE4FA9">
        <w:rPr>
          <w:rFonts w:ascii="Gotham-Book" w:eastAsia="Times New Roman" w:hAnsi="Gotham-Book" w:cs="Times New Roman"/>
          <w:color w:val="5F7280"/>
          <w:sz w:val="24"/>
          <w:szCs w:val="24"/>
        </w:rPr>
        <w:t>—Frequently used for senior living and people with disabilities living independently, involves collecting a patient’s health data in one location then electronically sending it to a healthcare professional for monitoring and review</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Of course, you will want to be sure the system integrates appropriately with your existing scheduling and notification systems.</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lastRenderedPageBreak/>
        <w:t>As you think about the features your organization desires, remember to consider the capabilities of your patient population in terms of technology use and connectivity.</w:t>
      </w:r>
    </w:p>
    <w:p w:rsidR="00EE4FA9" w:rsidRDefault="00EE4FA9" w:rsidP="00EE4FA9">
      <w:pPr>
        <w:pStyle w:val="Heading3"/>
        <w:shd w:val="clear" w:color="auto" w:fill="FFFFFF"/>
        <w:rPr>
          <w:rFonts w:ascii="Gotham-Medium" w:hAnsi="Gotham-Medium"/>
          <w:b w:val="0"/>
          <w:bCs w:val="0"/>
          <w:color w:val="5F7280"/>
        </w:rPr>
      </w:pPr>
      <w:r>
        <w:rPr>
          <w:rFonts w:ascii="Gotham-Medium" w:hAnsi="Gotham-Medium"/>
          <w:b w:val="0"/>
          <w:bCs w:val="0"/>
          <w:color w:val="5F7280"/>
        </w:rPr>
        <w:t>4. Find affordable and easy-to-use telehealth software</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Look for software that is easy to use for both practitioners and patients, and ensure that it aligns with HIPAA regulations. To prevent slowdowns in the workflow, the system must be easy for staff to adopt. Furthermore, patients must find it simple to access the system, or they will refuse to participate.</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Software should support a variety of devices, so that patients and staff can use smart phones, desktop computers, laptops, or tablets. The quality of service should facilitate, not hinder, the care your organization provides.</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Cost will be a consideration, so make sure you compare features, usability, and price tags for several options. Security features are paramount to keep patient data safe and meet HIPAA regulations.</w:t>
      </w:r>
    </w:p>
    <w:p w:rsidR="00EE4FA9" w:rsidRDefault="00EE4FA9" w:rsidP="00EE4FA9">
      <w:pPr>
        <w:pStyle w:val="Heading3"/>
        <w:shd w:val="clear" w:color="auto" w:fill="FFFFFF"/>
        <w:rPr>
          <w:rFonts w:ascii="Gotham-Medium" w:hAnsi="Gotham-Medium"/>
          <w:b w:val="0"/>
          <w:bCs w:val="0"/>
          <w:color w:val="5F7280"/>
        </w:rPr>
      </w:pPr>
      <w:r>
        <w:rPr>
          <w:rFonts w:ascii="Gotham-Medium" w:hAnsi="Gotham-Medium"/>
          <w:b w:val="0"/>
          <w:bCs w:val="0"/>
          <w:color w:val="5F7280"/>
        </w:rPr>
        <w:t>5. Loop your staff into the process</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Ensure that your healthcare team is included along the way as you plan for adding telehealth and go through the system selection process. An important part of the planning is to confirm that staff members are equipped with appropriate technology and reliable internet service wherever they will be providing care.</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Before going live, ensure that you have more than one person well trained in all the features of the system. Provide training and documentation to all staff who may need to use the system or assist patients in accessing it.</w:t>
      </w:r>
    </w:p>
    <w:p w:rsidR="00EE4FA9" w:rsidRDefault="00EE4FA9" w:rsidP="00EE4FA9">
      <w:pPr>
        <w:pStyle w:val="NormalWeb"/>
        <w:shd w:val="clear" w:color="auto" w:fill="FFFFFF"/>
        <w:spacing w:before="0" w:beforeAutospacing="0"/>
        <w:rPr>
          <w:rFonts w:ascii="Gotham-Book" w:hAnsi="Gotham-Book"/>
          <w:color w:val="5F7280"/>
        </w:rPr>
      </w:pPr>
      <w:r>
        <w:rPr>
          <w:rFonts w:ascii="Gotham-Book" w:hAnsi="Gotham-Book"/>
          <w:color w:val="5F7280"/>
        </w:rPr>
        <w:t>Encourage your staff to do practice runs with other staff members, friends, and family to test the system during the pilot stage.</w:t>
      </w:r>
    </w:p>
    <w:p w:rsidR="00EE4FA9" w:rsidRPr="00EE4FA9" w:rsidRDefault="00EE4FA9" w:rsidP="00EE4FA9">
      <w:pPr>
        <w:shd w:val="clear" w:color="auto" w:fill="FFFFFF"/>
        <w:spacing w:before="100" w:beforeAutospacing="1" w:after="100" w:afterAutospacing="1" w:line="240" w:lineRule="auto"/>
        <w:outlineLvl w:val="2"/>
        <w:rPr>
          <w:rFonts w:ascii="Gotham-Medium" w:eastAsia="Times New Roman" w:hAnsi="Gotham-Medium" w:cs="Times New Roman"/>
          <w:color w:val="5F7280"/>
          <w:sz w:val="27"/>
          <w:szCs w:val="27"/>
        </w:rPr>
      </w:pPr>
      <w:r w:rsidRPr="00EE4FA9">
        <w:rPr>
          <w:rFonts w:ascii="Gotham-Medium" w:eastAsia="Times New Roman" w:hAnsi="Gotham-Medium" w:cs="Times New Roman"/>
          <w:color w:val="5F7280"/>
          <w:sz w:val="27"/>
          <w:szCs w:val="27"/>
        </w:rPr>
        <w:t>6. Prepare your patients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Determine any potential roadblocks and challenges patients may encounter when using a new telehealth service. Obstacles can include:</w:t>
      </w:r>
    </w:p>
    <w:p w:rsidR="00EE4FA9" w:rsidRPr="00EE4FA9" w:rsidRDefault="00EE4FA9" w:rsidP="00EE4FA9">
      <w:pPr>
        <w:numPr>
          <w:ilvl w:val="0"/>
          <w:numId w:val="4"/>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Confusion in setting up the system</w:t>
      </w:r>
    </w:p>
    <w:p w:rsidR="00EE4FA9" w:rsidRPr="00EE4FA9" w:rsidRDefault="00EE4FA9" w:rsidP="00EE4FA9">
      <w:pPr>
        <w:numPr>
          <w:ilvl w:val="0"/>
          <w:numId w:val="4"/>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Slow bandwidth or limited access to the internet</w:t>
      </w:r>
    </w:p>
    <w:p w:rsidR="00EE4FA9" w:rsidRPr="00EE4FA9" w:rsidRDefault="00EE4FA9" w:rsidP="00EE4FA9">
      <w:pPr>
        <w:numPr>
          <w:ilvl w:val="0"/>
          <w:numId w:val="4"/>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Use of outdated devices</w:t>
      </w:r>
    </w:p>
    <w:p w:rsidR="00EE4FA9" w:rsidRPr="00EE4FA9" w:rsidRDefault="00EE4FA9" w:rsidP="00EE4FA9">
      <w:pPr>
        <w:numPr>
          <w:ilvl w:val="0"/>
          <w:numId w:val="4"/>
        </w:numPr>
        <w:shd w:val="clear" w:color="auto" w:fill="FFFFFF"/>
        <w:spacing w:before="100" w:beforeAutospacing="1"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Limited experience in using technology</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 xml:space="preserve">While these obstacles can be especially challenging for patients with intellectual or developmental disabilities (IDDs), using telehealth can be rewarding in many ways for these individuals. Adults with IDDs often have difficult-to-treat conditions, trouble expressing their symptoms, and frequently experience problems accessing care or receiving adequate care. At </w:t>
      </w:r>
      <w:r w:rsidRPr="00EE4FA9">
        <w:rPr>
          <w:rFonts w:ascii="Gotham-Book" w:eastAsia="Times New Roman" w:hAnsi="Gotham-Book" w:cs="Times New Roman"/>
          <w:color w:val="5F7280"/>
          <w:sz w:val="24"/>
          <w:szCs w:val="24"/>
        </w:rPr>
        <w:lastRenderedPageBreak/>
        <w:t>times, they may lack attention to wellness, preventive care, and health promotion. Telehealth services can make that type of information readily available to all clients.</w:t>
      </w:r>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Support the Learning Curve</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When clients encounter challenges with using the system the first few times, remind staff members to use a reassuring tone and have straightforward guidance on hand to assist those they serve. For best results, start with patients who have some experience using technology and are comfortable learning new systems.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Create a list of technical FAQs. Take a survey of your staff and patients to determine the most frequently asked questions. Then adapt your technical guidance based on questions and challenges, and provide refresher training as needed.</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Implementing a telehealth system into your organization’s processes can help your staff and patients connect in new and meaningful ways. Using these types of innovative services can broaden your reach and the support you can provide during the COVID-19 pandemic and beyond.</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The benefits of </w:t>
      </w:r>
      <w:hyperlink r:id="rId5" w:history="1">
        <w:r w:rsidRPr="00EE4FA9">
          <w:rPr>
            <w:rFonts w:ascii="Gotham-Book" w:eastAsia="Times New Roman" w:hAnsi="Gotham-Book" w:cs="Times New Roman"/>
            <w:color w:val="F2A900"/>
            <w:sz w:val="24"/>
            <w:szCs w:val="24"/>
            <w:u w:val="single"/>
          </w:rPr>
          <w:t>telehealth</w:t>
        </w:r>
      </w:hyperlink>
      <w:r w:rsidRPr="00EE4FA9">
        <w:rPr>
          <w:rFonts w:ascii="Gotham-Book" w:eastAsia="Times New Roman" w:hAnsi="Gotham-Book" w:cs="Times New Roman"/>
          <w:color w:val="5F7280"/>
          <w:sz w:val="24"/>
          <w:szCs w:val="24"/>
        </w:rPr>
        <w:t> are obvious. Your organization can provide greater access to health care and mental health services without necessarily expanding your physical facilities. Given the inherent risk of missed, late or inadequate appointments when caring for individuals with mental health issues, telehealth holds great promise. In fact, the </w:t>
      </w:r>
      <w:hyperlink r:id="rId6" w:history="1">
        <w:r w:rsidRPr="00EE4FA9">
          <w:rPr>
            <w:rFonts w:ascii="Gotham-Book" w:eastAsia="Times New Roman" w:hAnsi="Gotham-Book" w:cs="Times New Roman"/>
            <w:color w:val="F2A900"/>
            <w:sz w:val="24"/>
            <w:szCs w:val="24"/>
            <w:u w:val="single"/>
          </w:rPr>
          <w:t>American Psychiatric Association</w:t>
        </w:r>
      </w:hyperlink>
      <w:r w:rsidRPr="00EE4FA9">
        <w:rPr>
          <w:rFonts w:ascii="Gotham-Book" w:eastAsia="Times New Roman" w:hAnsi="Gotham-Book" w:cs="Times New Roman"/>
          <w:color w:val="5F7280"/>
          <w:sz w:val="24"/>
          <w:szCs w:val="24"/>
        </w:rPr>
        <w:t> coined the term, “</w:t>
      </w:r>
      <w:proofErr w:type="spellStart"/>
      <w:r w:rsidRPr="00EE4FA9">
        <w:rPr>
          <w:rFonts w:ascii="Gotham-Book" w:eastAsia="Times New Roman" w:hAnsi="Gotham-Book" w:cs="Times New Roman"/>
          <w:color w:val="5F7280"/>
          <w:sz w:val="24"/>
          <w:szCs w:val="24"/>
        </w:rPr>
        <w:t>telemental</w:t>
      </w:r>
      <w:proofErr w:type="spellEnd"/>
      <w:r w:rsidRPr="00EE4FA9">
        <w:rPr>
          <w:rFonts w:ascii="Gotham-Book" w:eastAsia="Times New Roman" w:hAnsi="Gotham-Book" w:cs="Times New Roman"/>
          <w:color w:val="5F7280"/>
          <w:sz w:val="24"/>
          <w:szCs w:val="24"/>
        </w:rPr>
        <w:t xml:space="preserve"> health” in its toolkit for creating and managing a telehealth program.</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Meanwhile, the statistics on telehealth indicate a massive shift toward this new, innovative way to access health care. Up to 20 percent of Americans would rather see a health care professional through telehealth systems than an in-office visit, found the Advisory Board Company’s 2016 Telehealth Survey, says </w:t>
      </w:r>
      <w:proofErr w:type="spellStart"/>
      <w:r w:rsidRPr="00EE4FA9">
        <w:rPr>
          <w:rFonts w:ascii="Gotham-Book" w:eastAsia="Times New Roman" w:hAnsi="Gotham-Book" w:cs="Times New Roman"/>
          <w:color w:val="5F7280"/>
          <w:sz w:val="24"/>
          <w:szCs w:val="24"/>
        </w:rPr>
        <w:fldChar w:fldCharType="begin"/>
      </w:r>
      <w:r w:rsidRPr="00EE4FA9">
        <w:rPr>
          <w:rFonts w:ascii="Gotham-Book" w:eastAsia="Times New Roman" w:hAnsi="Gotham-Book" w:cs="Times New Roman"/>
          <w:color w:val="5F7280"/>
          <w:sz w:val="24"/>
          <w:szCs w:val="24"/>
        </w:rPr>
        <w:instrText xml:space="preserve"> HYPERLINK "http://mhealthintelligence.com/news/telehealth-trends-telemental-health-direct-to-consumer-care" </w:instrText>
      </w:r>
      <w:r w:rsidRPr="00EE4FA9">
        <w:rPr>
          <w:rFonts w:ascii="Gotham-Book" w:eastAsia="Times New Roman" w:hAnsi="Gotham-Book" w:cs="Times New Roman"/>
          <w:color w:val="5F7280"/>
          <w:sz w:val="24"/>
          <w:szCs w:val="24"/>
        </w:rPr>
        <w:fldChar w:fldCharType="separate"/>
      </w:r>
      <w:r w:rsidRPr="00EE4FA9">
        <w:rPr>
          <w:rFonts w:ascii="Gotham-Book" w:eastAsia="Times New Roman" w:hAnsi="Gotham-Book" w:cs="Times New Roman"/>
          <w:color w:val="F2A900"/>
          <w:sz w:val="24"/>
          <w:szCs w:val="24"/>
          <w:u w:val="single"/>
        </w:rPr>
        <w:t>mHealthIntelligence</w:t>
      </w:r>
      <w:proofErr w:type="spellEnd"/>
      <w:r w:rsidRPr="00EE4FA9">
        <w:rPr>
          <w:rFonts w:ascii="Gotham-Book" w:eastAsia="Times New Roman" w:hAnsi="Gotham-Book" w:cs="Times New Roman"/>
          <w:color w:val="5F7280"/>
          <w:sz w:val="24"/>
          <w:szCs w:val="24"/>
        </w:rPr>
        <w:fldChar w:fldCharType="end"/>
      </w:r>
      <w:r w:rsidRPr="00EE4FA9">
        <w:rPr>
          <w:rFonts w:ascii="Gotham-Book" w:eastAsia="Times New Roman" w:hAnsi="Gotham-Book" w:cs="Times New Roman"/>
          <w:color w:val="5F7280"/>
          <w:sz w:val="24"/>
          <w:szCs w:val="24"/>
        </w:rPr>
        <w:t>. Furthermore, telehealth is expected to grow at a 14.3-percent compound annual growth rate through 2020, reports </w:t>
      </w:r>
      <w:hyperlink r:id="rId7" w:history="1">
        <w:r w:rsidRPr="00EE4FA9">
          <w:rPr>
            <w:rFonts w:ascii="Gotham-Book" w:eastAsia="Times New Roman" w:hAnsi="Gotham-Book" w:cs="Times New Roman"/>
            <w:color w:val="F2A900"/>
            <w:sz w:val="24"/>
            <w:szCs w:val="24"/>
            <w:u w:val="single"/>
          </w:rPr>
          <w:t>Becker’s Health IT &amp; CIO Review</w:t>
        </w:r>
      </w:hyperlink>
      <w:r w:rsidRPr="00EE4FA9">
        <w:rPr>
          <w:rFonts w:ascii="Gotham-Book" w:eastAsia="Times New Roman" w:hAnsi="Gotham-Book" w:cs="Times New Roman"/>
          <w:color w:val="5F7280"/>
          <w:sz w:val="24"/>
          <w:szCs w:val="24"/>
        </w:rPr>
        <w:t>.</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However, there are real challenges to implementing a telehealth program, and your organization needs to take a few things into consideration first.</w:t>
      </w:r>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What Type and Level of Care Will You Provide Via Telehealth?</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The first issue focuses on barriers to implementing a telehealth program for general health and human services, general health care or mental health care. Your organization must determine what type of services to offer through telehealth programs. The key lies in understanding which types of care can successfully be managed through telehealth.</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lastRenderedPageBreak/>
        <w:t>An ideal program should work to provide care for persons served with an established history in your organization. Unfortunately, states may have placed stipulations on whether you can even serve individuals with whom you have not previously treated or seen. In other words, has your organization provided care for a person previously, and if so, does the condition fall under your state’s specific guidelines or laws governing telehealth?</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For example, Texas only recently passed legislation, </w:t>
      </w:r>
      <w:hyperlink r:id="rId8" w:anchor="page=30" w:history="1">
        <w:r w:rsidRPr="00EE4FA9">
          <w:rPr>
            <w:rFonts w:ascii="Gotham-Book" w:eastAsia="Times New Roman" w:hAnsi="Gotham-Book" w:cs="Times New Roman"/>
            <w:color w:val="F2A900"/>
            <w:sz w:val="24"/>
            <w:szCs w:val="24"/>
            <w:u w:val="single"/>
          </w:rPr>
          <w:t>SB 1107</w:t>
        </w:r>
      </w:hyperlink>
      <w:r w:rsidRPr="00EE4FA9">
        <w:rPr>
          <w:rFonts w:ascii="Gotham-Book" w:eastAsia="Times New Roman" w:hAnsi="Gotham-Book" w:cs="Times New Roman"/>
          <w:color w:val="5F7280"/>
          <w:sz w:val="24"/>
          <w:szCs w:val="24"/>
        </w:rPr>
        <w:t>, reports the </w:t>
      </w:r>
      <w:hyperlink r:id="rId9" w:history="1">
        <w:r w:rsidRPr="00EE4FA9">
          <w:rPr>
            <w:rFonts w:ascii="Gotham-Book" w:eastAsia="Times New Roman" w:hAnsi="Gotham-Book" w:cs="Times New Roman"/>
            <w:color w:val="F2A900"/>
            <w:sz w:val="24"/>
            <w:szCs w:val="24"/>
            <w:u w:val="single"/>
          </w:rPr>
          <w:t>Texas Legislature Online</w:t>
        </w:r>
      </w:hyperlink>
      <w:r w:rsidRPr="00EE4FA9">
        <w:rPr>
          <w:rFonts w:ascii="Gotham-Book" w:eastAsia="Times New Roman" w:hAnsi="Gotham-Book" w:cs="Times New Roman"/>
          <w:color w:val="5F7280"/>
          <w:sz w:val="24"/>
          <w:szCs w:val="24"/>
        </w:rPr>
        <w:t>, allowing individuals to receive initial care through a given practitioner. Previously, individuals using telehealth were limited exclusively to telehealth care treating known, managed conditions.</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Given the vast rural areas of the Lone Star State, this new legislation will have a positive impact on individuals in need of care who cannot reasonably go to a physical care facility. Nationally, up to 20 percent of Americans living in rural areas could receive care for health issues that were not previously managed because of distance from a proper practitioner or care facility.</w:t>
      </w:r>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Does Your Staff Have the Experience Needed to Operate a Telehealth Program?</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Increased access to health care begs the question, “Can your staff handle seeing more individuals?” When more people connect with health care providers or professionals, even social workers and other health and human services’ workers, you need a strong, experienced staff.</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This means communication skills must be emphasized in all training programs for all employees working in telehealth systems. A miscommunication between physicians, social workers or any person in the care team could lead to serious consequences for those served. The other side of this conversation must address workload too.</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Health care professionals’ workloads should reflect reasonable workloads. The perceived simplicity of managing care through the internet makes it easy for supervisors and administrative professionals to overload workers. </w:t>
      </w:r>
      <w:r w:rsidRPr="00EE4FA9">
        <w:rPr>
          <w:rFonts w:ascii="GothamBold" w:eastAsia="Times New Roman" w:hAnsi="GothamBold" w:cs="Times New Roman"/>
          <w:color w:val="5F7280"/>
          <w:sz w:val="24"/>
          <w:szCs w:val="24"/>
        </w:rPr>
        <w:t>Being able to provide care while traveling or during non-traditional work schedules does not mean you can make employees work beyond acceptable, safe and legal schedules.</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You may need to create new departments and staff schedules to handle increased use of health services through telehealth systems.</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What Type of System Will Your Organization Use?</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One of the challenges in telehealth remains the system itself. Will your organization create its own system, or will you work with a vendor that provides telehealth systems?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lastRenderedPageBreak/>
        <w:t>If you opt to create a system from scratch, you will need to consider the costs of implementation. These include hardware and software costs. Depending on your current use or planned use of electronic health records (EHRs), you may need to upgrade health record practices too. Not seeing someone in your physical facility means all information from an individual’s health record should be easily accessible and searchable.</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Therefore, EHR use is essential to implementing a telehealth program, especially for those with severe conditions, like major mental health disorders, dual diagnoses, chronic health conditions or other extensive health problems.</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Network resiliency and security fall under this consideration as well. Your system will need an advanced security system to ensure information transmitted between persons-served and health professionals adheres to all HIPAA privacy requirements, reports </w:t>
      </w:r>
      <w:hyperlink r:id="rId10" w:history="1">
        <w:r w:rsidRPr="00EE4FA9">
          <w:rPr>
            <w:rFonts w:ascii="Gotham-Book" w:eastAsia="Times New Roman" w:hAnsi="Gotham-Book" w:cs="Times New Roman"/>
            <w:color w:val="F2A900"/>
            <w:sz w:val="24"/>
            <w:szCs w:val="24"/>
          </w:rPr>
          <w:t xml:space="preserve">Fred </w:t>
        </w:r>
        <w:proofErr w:type="spellStart"/>
        <w:r w:rsidRPr="00EE4FA9">
          <w:rPr>
            <w:rFonts w:ascii="Gotham-Book" w:eastAsia="Times New Roman" w:hAnsi="Gotham-Book" w:cs="Times New Roman"/>
            <w:color w:val="F2A900"/>
            <w:sz w:val="24"/>
            <w:szCs w:val="24"/>
          </w:rPr>
          <w:t>Pennic</w:t>
        </w:r>
        <w:proofErr w:type="spellEnd"/>
        <w:r w:rsidRPr="00EE4FA9">
          <w:rPr>
            <w:rFonts w:ascii="Gotham-Book" w:eastAsia="Times New Roman" w:hAnsi="Gotham-Book" w:cs="Times New Roman"/>
            <w:color w:val="F2A900"/>
            <w:sz w:val="24"/>
            <w:szCs w:val="24"/>
          </w:rPr>
          <w:t xml:space="preserve"> of HIT Consultant.</w:t>
        </w:r>
      </w:hyperlink>
      <w:r w:rsidRPr="00EE4FA9">
        <w:rPr>
          <w:rFonts w:ascii="Gotham-Book" w:eastAsia="Times New Roman" w:hAnsi="Gotham-Book" w:cs="Times New Roman"/>
          <w:color w:val="5F7280"/>
          <w:sz w:val="24"/>
          <w:szCs w:val="24"/>
        </w:rPr>
        <w:t> You may also want to consider upgrading the bandwidth used by your facility, which may include upgrading Wi-Fi routers, Wi-Fi access points and in-house servers.</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 xml:space="preserve">Because of the challenges and burdens placed on your internal IT department when implementing a telehealth or </w:t>
      </w:r>
      <w:proofErr w:type="spellStart"/>
      <w:r w:rsidRPr="00EE4FA9">
        <w:rPr>
          <w:rFonts w:ascii="Gotham-Book" w:eastAsia="Times New Roman" w:hAnsi="Gotham-Book" w:cs="Times New Roman"/>
          <w:color w:val="5F7280"/>
          <w:sz w:val="24"/>
          <w:szCs w:val="24"/>
        </w:rPr>
        <w:t>telemental</w:t>
      </w:r>
      <w:proofErr w:type="spellEnd"/>
      <w:r w:rsidRPr="00EE4FA9">
        <w:rPr>
          <w:rFonts w:ascii="Gotham-Book" w:eastAsia="Times New Roman" w:hAnsi="Gotham-Book" w:cs="Times New Roman"/>
          <w:color w:val="5F7280"/>
          <w:sz w:val="24"/>
          <w:szCs w:val="24"/>
        </w:rPr>
        <w:t xml:space="preserve"> health system, working with an experienced vendor may be preferred. Such partnerships will help your organization get telehealth services to those in need and mitigate risks in bringing health visits into the virtual world.</w:t>
      </w:r>
    </w:p>
    <w:p w:rsidR="00EE4FA9" w:rsidRPr="00EE4FA9" w:rsidRDefault="00EE4FA9" w:rsidP="00EE4FA9">
      <w:pPr>
        <w:shd w:val="clear" w:color="auto" w:fill="FFFFFF"/>
        <w:spacing w:before="100" w:beforeAutospacing="1" w:after="100" w:afterAutospacing="1" w:line="240" w:lineRule="auto"/>
        <w:outlineLvl w:val="1"/>
        <w:rPr>
          <w:rFonts w:ascii="Gotham-Medium" w:eastAsia="Times New Roman" w:hAnsi="Gotham-Medium" w:cs="Times New Roman"/>
          <w:color w:val="5F7280"/>
          <w:spacing w:val="15"/>
          <w:sz w:val="36"/>
          <w:szCs w:val="36"/>
        </w:rPr>
      </w:pPr>
      <w:r w:rsidRPr="00EE4FA9">
        <w:rPr>
          <w:rFonts w:ascii="Gotham-Medium" w:eastAsia="Times New Roman" w:hAnsi="Gotham-Medium" w:cs="Times New Roman"/>
          <w:color w:val="5F7280"/>
          <w:spacing w:val="15"/>
          <w:sz w:val="36"/>
          <w:szCs w:val="36"/>
        </w:rPr>
        <w:t xml:space="preserve">What’s </w:t>
      </w:r>
      <w:proofErr w:type="gramStart"/>
      <w:r w:rsidRPr="00EE4FA9">
        <w:rPr>
          <w:rFonts w:ascii="Gotham-Medium" w:eastAsia="Times New Roman" w:hAnsi="Gotham-Medium" w:cs="Times New Roman"/>
          <w:color w:val="5F7280"/>
          <w:spacing w:val="15"/>
          <w:sz w:val="36"/>
          <w:szCs w:val="36"/>
        </w:rPr>
        <w:t>Next</w:t>
      </w:r>
      <w:proofErr w:type="gramEnd"/>
      <w:r w:rsidRPr="00EE4FA9">
        <w:rPr>
          <w:rFonts w:ascii="Gotham-Medium" w:eastAsia="Times New Roman" w:hAnsi="Gotham-Medium" w:cs="Times New Roman"/>
          <w:color w:val="5F7280"/>
          <w:spacing w:val="15"/>
          <w:sz w:val="36"/>
          <w:szCs w:val="36"/>
        </w:rPr>
        <w:t>?</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The push toward expanding access to health care through telehealth is growing stronger. The </w:t>
      </w:r>
      <w:hyperlink r:id="rId11" w:history="1">
        <w:r w:rsidRPr="00EE4FA9">
          <w:rPr>
            <w:rFonts w:ascii="Gotham-Book" w:eastAsia="Times New Roman" w:hAnsi="Gotham-Book" w:cs="Times New Roman"/>
            <w:color w:val="F2A900"/>
            <w:sz w:val="24"/>
            <w:szCs w:val="24"/>
          </w:rPr>
          <w:t>District of Columbia and 29 states</w:t>
        </w:r>
      </w:hyperlink>
      <w:r w:rsidRPr="00EE4FA9">
        <w:rPr>
          <w:rFonts w:ascii="Gotham-Book" w:eastAsia="Times New Roman" w:hAnsi="Gotham-Book" w:cs="Times New Roman"/>
          <w:color w:val="5F7280"/>
          <w:sz w:val="24"/>
          <w:szCs w:val="24"/>
        </w:rPr>
        <w:t> now require health insurers to cover telemedicine services. To help your organization prepare for the possible future of national-mandated access to telehealth services, you need to take these considerations seriously.</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Start with training your staff on how to provide care remotely, emphasizing the role of communication and being thorough with all interactions. Because telehealth can lead to seeing an even greater array of health and medical conditions, make sure all staff have completed additional training on recognizing possible signs of mental health conditions as well.</w:t>
      </w: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r w:rsidRPr="00EE4FA9">
        <w:rPr>
          <w:rFonts w:ascii="Gotham-Book" w:eastAsia="Times New Roman" w:hAnsi="Gotham-Book" w:cs="Times New Roman"/>
          <w:color w:val="5F7280"/>
          <w:sz w:val="24"/>
          <w:szCs w:val="24"/>
        </w:rPr>
        <w:t>Of course, training can be classified as one of the best practices for implementing a telehealth program. Therefore, Part II of this series will explore the top best practices for making telehealth a success in your organization.</w:t>
      </w: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Default="00EE4FA9" w:rsidP="00EE4FA9">
      <w:pPr>
        <w:pStyle w:val="NormalWeb"/>
        <w:shd w:val="clear" w:color="auto" w:fill="FFFFFF"/>
        <w:spacing w:before="0" w:beforeAutospacing="0"/>
        <w:rPr>
          <w:rFonts w:ascii="Gotham-Book" w:hAnsi="Gotham-Book"/>
          <w:color w:val="5F7280"/>
        </w:rPr>
      </w:pPr>
    </w:p>
    <w:p w:rsidR="00EE4FA9" w:rsidRDefault="00EE4FA9" w:rsidP="00EE4FA9">
      <w:pPr>
        <w:pStyle w:val="NormalWeb"/>
        <w:shd w:val="clear" w:color="auto" w:fill="FFFFFF"/>
        <w:spacing w:before="0" w:beforeAutospacing="0"/>
        <w:rPr>
          <w:rFonts w:ascii="Gotham-Book" w:hAnsi="Gotham-Book"/>
          <w:color w:val="5F7280"/>
        </w:rPr>
      </w:pPr>
    </w:p>
    <w:p w:rsid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after="100" w:afterAutospacing="1" w:line="240" w:lineRule="auto"/>
        <w:rPr>
          <w:rFonts w:ascii="Gotham-Book" w:eastAsia="Times New Roman" w:hAnsi="Gotham-Book" w:cs="Times New Roman"/>
          <w:color w:val="5F7280"/>
          <w:sz w:val="24"/>
          <w:szCs w:val="24"/>
        </w:rPr>
      </w:pPr>
    </w:p>
    <w:p w:rsidR="00EE4FA9" w:rsidRPr="00EE4FA9" w:rsidRDefault="00EE4FA9" w:rsidP="00EE4FA9">
      <w:pPr>
        <w:shd w:val="clear" w:color="auto" w:fill="FFFFFF"/>
        <w:spacing w:before="100" w:beforeAutospacing="1" w:after="100" w:afterAutospacing="1" w:line="240" w:lineRule="auto"/>
        <w:rPr>
          <w:rFonts w:ascii="Gotham-Book" w:eastAsia="Times New Roman" w:hAnsi="Gotham-Book" w:cs="Times New Roman"/>
          <w:color w:val="5F7280"/>
          <w:sz w:val="24"/>
          <w:szCs w:val="24"/>
        </w:rPr>
      </w:pPr>
    </w:p>
    <w:p w:rsidR="00C46574" w:rsidRDefault="00C46574"/>
    <w:sectPr w:rsidR="00C46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Medium">
    <w:altName w:val="Times New Roman"/>
    <w:panose1 w:val="00000000000000000000"/>
    <w:charset w:val="00"/>
    <w:family w:val="roman"/>
    <w:notTrueType/>
    <w:pitch w:val="default"/>
  </w:font>
  <w:font w:name="Gotham-Book">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161D5"/>
    <w:multiLevelType w:val="multilevel"/>
    <w:tmpl w:val="D99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B5BF0"/>
    <w:multiLevelType w:val="multilevel"/>
    <w:tmpl w:val="918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221B6"/>
    <w:multiLevelType w:val="multilevel"/>
    <w:tmpl w:val="141C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841AA"/>
    <w:multiLevelType w:val="multilevel"/>
    <w:tmpl w:val="D1B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A9"/>
    <w:rsid w:val="00C46574"/>
    <w:rsid w:val="00EE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C0E96-B97B-47C9-BFDC-E58F5997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4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E4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F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4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FA9"/>
    <w:rPr>
      <w:b/>
      <w:bCs/>
    </w:rPr>
  </w:style>
  <w:style w:type="character" w:customStyle="1" w:styleId="Heading2Char">
    <w:name w:val="Heading 2 Char"/>
    <w:basedOn w:val="DefaultParagraphFont"/>
    <w:link w:val="Heading2"/>
    <w:uiPriority w:val="9"/>
    <w:semiHidden/>
    <w:rsid w:val="00EE4F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53034811">
      <w:bodyDiv w:val="1"/>
      <w:marLeft w:val="0"/>
      <w:marRight w:val="0"/>
      <w:marTop w:val="0"/>
      <w:marBottom w:val="0"/>
      <w:divBdr>
        <w:top w:val="none" w:sz="0" w:space="0" w:color="auto"/>
        <w:left w:val="none" w:sz="0" w:space="0" w:color="auto"/>
        <w:bottom w:val="none" w:sz="0" w:space="0" w:color="auto"/>
        <w:right w:val="none" w:sz="0" w:space="0" w:color="auto"/>
      </w:divBdr>
    </w:div>
    <w:div w:id="270748981">
      <w:bodyDiv w:val="1"/>
      <w:marLeft w:val="0"/>
      <w:marRight w:val="0"/>
      <w:marTop w:val="0"/>
      <w:marBottom w:val="0"/>
      <w:divBdr>
        <w:top w:val="none" w:sz="0" w:space="0" w:color="auto"/>
        <w:left w:val="none" w:sz="0" w:space="0" w:color="auto"/>
        <w:bottom w:val="none" w:sz="0" w:space="0" w:color="auto"/>
        <w:right w:val="none" w:sz="0" w:space="0" w:color="auto"/>
      </w:divBdr>
    </w:div>
    <w:div w:id="494420957">
      <w:bodyDiv w:val="1"/>
      <w:marLeft w:val="0"/>
      <w:marRight w:val="0"/>
      <w:marTop w:val="0"/>
      <w:marBottom w:val="0"/>
      <w:divBdr>
        <w:top w:val="none" w:sz="0" w:space="0" w:color="auto"/>
        <w:left w:val="none" w:sz="0" w:space="0" w:color="auto"/>
        <w:bottom w:val="none" w:sz="0" w:space="0" w:color="auto"/>
        <w:right w:val="none" w:sz="0" w:space="0" w:color="auto"/>
      </w:divBdr>
    </w:div>
    <w:div w:id="874272749">
      <w:bodyDiv w:val="1"/>
      <w:marLeft w:val="0"/>
      <w:marRight w:val="0"/>
      <w:marTop w:val="0"/>
      <w:marBottom w:val="0"/>
      <w:divBdr>
        <w:top w:val="none" w:sz="0" w:space="0" w:color="auto"/>
        <w:left w:val="none" w:sz="0" w:space="0" w:color="auto"/>
        <w:bottom w:val="none" w:sz="0" w:space="0" w:color="auto"/>
        <w:right w:val="none" w:sz="0" w:space="0" w:color="auto"/>
      </w:divBdr>
    </w:div>
    <w:div w:id="1218514027">
      <w:bodyDiv w:val="1"/>
      <w:marLeft w:val="0"/>
      <w:marRight w:val="0"/>
      <w:marTop w:val="0"/>
      <w:marBottom w:val="0"/>
      <w:divBdr>
        <w:top w:val="none" w:sz="0" w:space="0" w:color="auto"/>
        <w:left w:val="none" w:sz="0" w:space="0" w:color="auto"/>
        <w:bottom w:val="none" w:sz="0" w:space="0" w:color="auto"/>
        <w:right w:val="none" w:sz="0" w:space="0" w:color="auto"/>
      </w:divBdr>
    </w:div>
    <w:div w:id="1225482239">
      <w:bodyDiv w:val="1"/>
      <w:marLeft w:val="0"/>
      <w:marRight w:val="0"/>
      <w:marTop w:val="0"/>
      <w:marBottom w:val="0"/>
      <w:divBdr>
        <w:top w:val="none" w:sz="0" w:space="0" w:color="auto"/>
        <w:left w:val="none" w:sz="0" w:space="0" w:color="auto"/>
        <w:bottom w:val="none" w:sz="0" w:space="0" w:color="auto"/>
        <w:right w:val="none" w:sz="0" w:space="0" w:color="auto"/>
      </w:divBdr>
    </w:div>
    <w:div w:id="1473642535">
      <w:bodyDiv w:val="1"/>
      <w:marLeft w:val="0"/>
      <w:marRight w:val="0"/>
      <w:marTop w:val="0"/>
      <w:marBottom w:val="0"/>
      <w:divBdr>
        <w:top w:val="none" w:sz="0" w:space="0" w:color="auto"/>
        <w:left w:val="none" w:sz="0" w:space="0" w:color="auto"/>
        <w:bottom w:val="none" w:sz="0" w:space="0" w:color="auto"/>
        <w:right w:val="none" w:sz="0" w:space="0" w:color="auto"/>
      </w:divBdr>
    </w:div>
    <w:div w:id="15578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senate.state.tx.us/sjrnl/85r/pdf/85RSJ05-18-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ckershospitalreview.com/healthcare-information-technology/telemedicine-to-attract-7m-patient-users-by-2018-12-statistics-on-the-thriving-market.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psychiatry.org/psychiatrists/practice/telepsychiatry/blog/the-advisory-board-company-releases-2016-telehealth-survey-results" TargetMode="External"/><Relationship Id="rId11" Type="http://schemas.openxmlformats.org/officeDocument/2006/relationships/hyperlink" Target="http://www.beckershospitalreview.com/healthcare-information-technology/telemedicine-to-attract-7m-patient-users-by-2018-12-statistics-on-the-thriving-market.html" TargetMode="External"/><Relationship Id="rId5" Type="http://schemas.openxmlformats.org/officeDocument/2006/relationships/hyperlink" Target="https://www.relias.com/topic/telemental-health" TargetMode="External"/><Relationship Id="rId15" Type="http://schemas.openxmlformats.org/officeDocument/2006/relationships/customXml" Target="../customXml/item2.xml"/><Relationship Id="rId10" Type="http://schemas.openxmlformats.org/officeDocument/2006/relationships/hyperlink" Target="http://hitconsultant.net/2016/07/06/4-things-to-consider-implementing-telehealth-solution/" TargetMode="External"/><Relationship Id="rId4" Type="http://schemas.openxmlformats.org/officeDocument/2006/relationships/webSettings" Target="webSettings.xml"/><Relationship Id="rId9" Type="http://schemas.openxmlformats.org/officeDocument/2006/relationships/hyperlink" Target="http://www.legis.state.tx.us/BillLookup/History.aspx?LegSess=85R&amp;Bill=SB1107"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566ED-EFD1-4133-83B5-B88C1FF76F05}"/>
</file>

<file path=customXml/itemProps2.xml><?xml version="1.0" encoding="utf-8"?>
<ds:datastoreItem xmlns:ds="http://schemas.openxmlformats.org/officeDocument/2006/customXml" ds:itemID="{79CE5242-328E-4AB2-AB94-99FE24610D68}"/>
</file>

<file path=customXml/itemProps3.xml><?xml version="1.0" encoding="utf-8"?>
<ds:datastoreItem xmlns:ds="http://schemas.openxmlformats.org/officeDocument/2006/customXml" ds:itemID="{ADCDCF4A-C169-4BFA-8797-F8F80675A347}"/>
</file>

<file path=docProps/app.xml><?xml version="1.0" encoding="utf-8"?>
<Properties xmlns="http://schemas.openxmlformats.org/officeDocument/2006/extended-properties" xmlns:vt="http://schemas.openxmlformats.org/officeDocument/2006/docPropsVTypes">
  <Template>Normal</Template>
  <TotalTime>6</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KIBEL JOANNA</dc:creator>
  <cp:keywords/>
  <dc:description/>
  <cp:lastModifiedBy>KIBEL JOANNA</cp:lastModifiedBy>
  <cp:revision>1</cp:revision>
  <dcterms:created xsi:type="dcterms:W3CDTF">2020-04-20T17:19:00Z</dcterms:created>
  <dcterms:modified xsi:type="dcterms:W3CDTF">2020-04-20T17:25:00Z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